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38</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רשמת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שלי  פרקש</w:t>
                </w:r>
              </w:sdtContent>
            </w:sdt>
          </w:p>
          <w:p w:rsidR="0094424E" w:rsidRDefault="0094424E" w:rsidP="00D44968">
            <w:pPr>
              <w:suppressLineNumbers/>
              <w:rPr>
                <w:rFonts w:ascii="Arial" w:hAnsi="Arial" w:cs="FrankRuehl"/>
                <w:sz w:val="28"/>
                <w:szCs w:val="28"/>
                <w:highlight w:val="yellow"/>
              </w:rPr>
            </w:pPr>
          </w:p>
        </w:tc>
      </w:tr>
      <w:tr w:rsidR="0094424E" w:rsidTr="00B24A8C">
        <w:trPr>
          <w:trHeight w:val="477"/>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C5D10" w:rsidRDefault="00B24A8C">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8B52DE" w:rsidP="003D7EC0">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3D7EC0">
                  <w:rPr>
                    <w:rFonts w:ascii="Arial" w:hAnsi="Arial" w:hint="cs"/>
                    <w:b/>
                    <w:bCs/>
                    <w:noProof w:val="0"/>
                    <w:sz w:val="26"/>
                    <w:szCs w:val="26"/>
                    <w:rtl/>
                  </w:rPr>
                  <w:t>ק.ע.</w:t>
                </w:r>
              </w:sdtContent>
            </w:sdt>
            <w:r w:rsidR="00E54CD9" w:rsidRPr="00E54CD9">
              <w:rPr>
                <w:rFonts w:ascii="Arial" w:hAnsi="Arial" w:hint="cs"/>
                <w:b/>
                <w:bCs/>
                <w:noProof w:val="0"/>
                <w:sz w:val="26"/>
                <w:szCs w:val="26"/>
                <w:rtl/>
              </w:rPr>
              <w:t xml:space="preserve"> </w:t>
            </w:r>
            <w:r w:rsidR="00B24A8C">
              <w:rPr>
                <w:rFonts w:ascii="Arial" w:hAnsi="Arial" w:hint="cs"/>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B52DE" w:rsidP="00D44968">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משיבים</w:t>
                </w:r>
              </w:sdtContent>
            </w:sdt>
          </w:p>
        </w:tc>
        <w:tc>
          <w:tcPr>
            <w:tcW w:w="5571" w:type="dxa"/>
            <w:gridSpan w:val="2"/>
          </w:tcPr>
          <w:p w:rsidR="00B24A8C" w:rsidRPr="00E54CD9" w:rsidRDefault="008B52DE" w:rsidP="003D7EC0">
            <w:pPr>
              <w:suppressLineNumbers/>
              <w:rPr>
                <w:rFonts w:ascii="Arial" w:hAnsi="Arial"/>
                <w:b/>
                <w:bCs/>
                <w:noProof w:val="0"/>
                <w:sz w:val="26"/>
                <w:szCs w:val="26"/>
                <w:rtl/>
              </w:rPr>
            </w:pPr>
            <w:sdt>
              <w:sdtPr>
                <w:rPr>
                  <w:rtl/>
                </w:rPr>
                <w:alias w:val="1571"/>
                <w:tag w:val="1571"/>
                <w:id w:val="715626461"/>
                <w:text w:multiLine="1"/>
              </w:sdtPr>
              <w:sdtEndPr/>
              <w:sdtContent>
                <w:r w:rsidR="00B24A8C">
                  <w:rPr>
                    <w:rFonts w:ascii="Arial" w:hAnsi="Arial" w:hint="cs"/>
                    <w:b/>
                    <w:bCs/>
                    <w:noProof w:val="0"/>
                    <w:sz w:val="26"/>
                    <w:szCs w:val="26"/>
                    <w:rtl/>
                  </w:rPr>
                  <w:t>1</w:t>
                </w:r>
              </w:sdtContent>
            </w:sdt>
            <w:r w:rsidR="00B24A8C">
              <w:rPr>
                <w:rFonts w:ascii="Arial" w:hAnsi="Arial"/>
                <w:b/>
                <w:bCs/>
                <w:noProof w:val="0"/>
                <w:sz w:val="26"/>
                <w:szCs w:val="26"/>
                <w:rtl/>
              </w:rPr>
              <w:t>.</w:t>
            </w:r>
            <w:r w:rsidR="00B24A8C">
              <w:rPr>
                <w:rFonts w:ascii="Arial" w:hAnsi="Arial" w:hint="cs"/>
                <w:b/>
                <w:bCs/>
                <w:noProof w:val="0"/>
                <w:sz w:val="26"/>
                <w:szCs w:val="26"/>
                <w:rtl/>
              </w:rPr>
              <w:t xml:space="preserve"> </w:t>
            </w:r>
            <w:sdt>
              <w:sdtPr>
                <w:rPr>
                  <w:rtl/>
                </w:rPr>
                <w:alias w:val="1486"/>
                <w:tag w:val="1486"/>
                <w:id w:val="-651446215"/>
                <w:text w:multiLine="1"/>
              </w:sdtPr>
              <w:sdtEndPr/>
              <w:sdtContent>
                <w:r w:rsidR="003D7EC0">
                  <w:rPr>
                    <w:rFonts w:ascii="Arial" w:hAnsi="Arial" w:hint="cs"/>
                    <w:b/>
                    <w:bCs/>
                    <w:noProof w:val="0"/>
                    <w:sz w:val="26"/>
                    <w:szCs w:val="26"/>
                    <w:rtl/>
                  </w:rPr>
                  <w:t>י.ק.</w:t>
                </w:r>
              </w:sdtContent>
            </w:sdt>
            <w:r w:rsidR="00B24A8C">
              <w:rPr>
                <w:rFonts w:hint="cs"/>
                <w:rtl/>
              </w:rPr>
              <w:t xml:space="preserve"> </w:t>
            </w:r>
          </w:p>
          <w:p w:rsidR="00CF6BB7" w:rsidRDefault="008B52DE" w:rsidP="003D7EC0">
            <w:pPr>
              <w:suppressLineNumbers/>
              <w:rPr>
                <w:b/>
                <w:bCs/>
                <w:noProof w:val="0"/>
                <w:sz w:val="26"/>
                <w:szCs w:val="26"/>
                <w:rtl/>
              </w:rPr>
            </w:pPr>
            <w:sdt>
              <w:sdtPr>
                <w:rPr>
                  <w:rtl/>
                </w:rPr>
                <w:alias w:val="1571"/>
                <w:tag w:val="1571"/>
                <w:id w:val="-482697958"/>
                <w:text w:multiLine="1"/>
              </w:sdtPr>
              <w:sdtEndPr/>
              <w:sdtContent>
                <w:r w:rsidR="00B24A8C">
                  <w:rPr>
                    <w:rFonts w:ascii="Arial" w:hAnsi="Arial" w:hint="cs"/>
                    <w:b/>
                    <w:bCs/>
                    <w:noProof w:val="0"/>
                    <w:sz w:val="26"/>
                    <w:szCs w:val="26"/>
                    <w:rtl/>
                  </w:rPr>
                  <w:t>2</w:t>
                </w:r>
              </w:sdtContent>
            </w:sdt>
            <w:r w:rsidR="00B24A8C">
              <w:rPr>
                <w:rFonts w:ascii="Arial" w:hAnsi="Arial"/>
                <w:b/>
                <w:bCs/>
                <w:noProof w:val="0"/>
                <w:sz w:val="26"/>
                <w:szCs w:val="26"/>
                <w:rtl/>
              </w:rPr>
              <w:t>.</w:t>
            </w:r>
            <w:r w:rsidR="00B24A8C">
              <w:rPr>
                <w:rFonts w:ascii="Arial" w:hAnsi="Arial" w:hint="cs"/>
                <w:b/>
                <w:bCs/>
                <w:noProof w:val="0"/>
                <w:sz w:val="26"/>
                <w:szCs w:val="26"/>
                <w:rtl/>
              </w:rPr>
              <w:t xml:space="preserve"> </w:t>
            </w:r>
            <w:sdt>
              <w:sdtPr>
                <w:rPr>
                  <w:rtl/>
                </w:rPr>
                <w:alias w:val="1486"/>
                <w:tag w:val="1486"/>
                <w:id w:val="1539249253"/>
                <w:text w:multiLine="1"/>
              </w:sdtPr>
              <w:sdtEndPr/>
              <w:sdtContent>
                <w:r w:rsidR="003D7EC0">
                  <w:rPr>
                    <w:rFonts w:ascii="Arial" w:hAnsi="Arial" w:hint="cs"/>
                    <w:b/>
                    <w:bCs/>
                    <w:noProof w:val="0"/>
                    <w:sz w:val="26"/>
                    <w:szCs w:val="26"/>
                    <w:rtl/>
                  </w:rPr>
                  <w:t>א.ט.</w:t>
                </w:r>
              </w:sdtContent>
            </w:sdt>
          </w:p>
          <w:p w:rsidR="0094424E" w:rsidRPr="00E54CD9" w:rsidRDefault="00E54CD9" w:rsidP="00B24A8C">
            <w:pPr>
              <w:suppressLineNumbers/>
              <w:rPr>
                <w:rFonts w:ascii="Arial" w:hAnsi="Arial"/>
                <w:b/>
                <w:bCs/>
                <w:noProof w:val="0"/>
                <w:sz w:val="26"/>
                <w:szCs w:val="26"/>
                <w:rtl/>
              </w:rPr>
            </w:pPr>
            <w:r>
              <w:rPr>
                <w:rFonts w:hint="cs"/>
                <w:rtl/>
              </w:rPr>
              <w:t xml:space="preserve">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2440CA">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B24A8C" w:rsidRDefault="00B24A8C" w:rsidP="00B24A8C">
      <w:pPr>
        <w:spacing w:line="360" w:lineRule="auto"/>
        <w:jc w:val="both"/>
        <w:rPr>
          <w:rFonts w:ascii="David" w:hAnsi="David"/>
          <w:noProof w:val="0"/>
          <w:rtl/>
        </w:rPr>
      </w:pPr>
      <w:bookmarkStart w:id="1" w:name="NGCSBookmark"/>
      <w:bookmarkEnd w:id="1"/>
    </w:p>
    <w:p w:rsidR="00B24A8C" w:rsidRDefault="00B24A8C" w:rsidP="00B24A8C">
      <w:pPr>
        <w:numPr>
          <w:ilvl w:val="0"/>
          <w:numId w:val="1"/>
        </w:numPr>
        <w:spacing w:line="360" w:lineRule="auto"/>
        <w:ind w:left="0"/>
        <w:contextualSpacing/>
        <w:jc w:val="both"/>
        <w:rPr>
          <w:rFonts w:ascii="David" w:hAnsi="David"/>
          <w:noProof w:val="0"/>
        </w:rPr>
      </w:pPr>
      <w:r>
        <w:rPr>
          <w:rFonts w:ascii="David" w:hAnsi="David"/>
          <w:noProof w:val="0"/>
          <w:rtl/>
        </w:rPr>
        <w:t>לפניי בקשה להגדלת סכום ערובה שהופקדה, לסך 250,000 ₪ מכוח הוראת תקנה 157 לתקנות סדר הדין האזרחי, תשע"ט-2018.</w:t>
      </w:r>
    </w:p>
    <w:p w:rsidR="00B24A8C" w:rsidRDefault="00B24A8C" w:rsidP="00B24A8C">
      <w:pPr>
        <w:spacing w:line="360" w:lineRule="auto"/>
        <w:jc w:val="both"/>
        <w:rPr>
          <w:rFonts w:ascii="David" w:hAnsi="David"/>
          <w:noProof w:val="0"/>
        </w:rPr>
      </w:pPr>
    </w:p>
    <w:p w:rsidR="00B24A8C" w:rsidRDefault="00B24A8C" w:rsidP="003D7EC0">
      <w:pPr>
        <w:numPr>
          <w:ilvl w:val="0"/>
          <w:numId w:val="1"/>
        </w:numPr>
        <w:spacing w:line="360" w:lineRule="auto"/>
        <w:ind w:left="0"/>
        <w:contextualSpacing/>
        <w:jc w:val="both"/>
        <w:rPr>
          <w:rFonts w:ascii="David" w:hAnsi="David"/>
          <w:noProof w:val="0"/>
        </w:rPr>
      </w:pPr>
      <w:r>
        <w:rPr>
          <w:rFonts w:ascii="David" w:hAnsi="David"/>
          <w:noProof w:val="0"/>
          <w:rtl/>
        </w:rPr>
        <w:t xml:space="preserve">הצדדים הם אחים, ילדיו של המנוח </w:t>
      </w:r>
      <w:r w:rsidR="003D7EC0">
        <w:rPr>
          <w:rFonts w:ascii="David" w:hAnsi="David" w:hint="cs"/>
          <w:noProof w:val="0"/>
          <w:rtl/>
        </w:rPr>
        <w:t>...</w:t>
      </w:r>
      <w:r>
        <w:rPr>
          <w:rFonts w:ascii="David" w:hAnsi="David"/>
          <w:noProof w:val="0"/>
          <w:rtl/>
        </w:rPr>
        <w:t xml:space="preserve"> ז"ל</w:t>
      </w:r>
      <w:r>
        <w:rPr>
          <w:rFonts w:ascii="David" w:hAnsi="David" w:hint="cs"/>
          <w:noProof w:val="0"/>
          <w:rtl/>
        </w:rPr>
        <w:t xml:space="preserve">. </w:t>
      </w:r>
      <w:r>
        <w:rPr>
          <w:rFonts w:ascii="David" w:hAnsi="David"/>
          <w:noProof w:val="0"/>
          <w:rtl/>
        </w:rPr>
        <w:t xml:space="preserve">עניינו של ההליך הוא התנגדויות הדדיות לבקשות למתן צו קיום צוואות, אחת שנערכה בשנת 2018 והשנייה שנערכה בשנת 2020. </w:t>
      </w:r>
    </w:p>
    <w:p w:rsidR="00B24A8C" w:rsidRDefault="00B24A8C" w:rsidP="00B24A8C">
      <w:pPr>
        <w:spacing w:line="360" w:lineRule="auto"/>
        <w:jc w:val="both"/>
        <w:rPr>
          <w:rFonts w:ascii="David" w:hAnsi="David"/>
          <w:noProof w:val="0"/>
        </w:rPr>
      </w:pPr>
    </w:p>
    <w:p w:rsidR="00B24A8C" w:rsidRDefault="00B24A8C" w:rsidP="00B24A8C">
      <w:pPr>
        <w:numPr>
          <w:ilvl w:val="0"/>
          <w:numId w:val="1"/>
        </w:numPr>
        <w:spacing w:line="360" w:lineRule="auto"/>
        <w:ind w:left="0"/>
        <w:contextualSpacing/>
        <w:jc w:val="both"/>
        <w:rPr>
          <w:rFonts w:ascii="David" w:hAnsi="David"/>
          <w:noProof w:val="0"/>
        </w:rPr>
      </w:pPr>
      <w:r>
        <w:rPr>
          <w:rFonts w:ascii="David" w:hAnsi="David"/>
          <w:noProof w:val="0"/>
          <w:rtl/>
        </w:rPr>
        <w:t>ביום 7.11.21, הגיש המבקש בקשה להפקדת ערובה.</w:t>
      </w:r>
    </w:p>
    <w:p w:rsidR="00B24A8C" w:rsidRDefault="00B24A8C" w:rsidP="00B24A8C">
      <w:pPr>
        <w:spacing w:line="360" w:lineRule="auto"/>
        <w:jc w:val="both"/>
        <w:rPr>
          <w:rFonts w:ascii="David" w:hAnsi="David"/>
          <w:noProof w:val="0"/>
        </w:rPr>
      </w:pPr>
    </w:p>
    <w:p w:rsidR="00B24A8C" w:rsidRDefault="00B24A8C" w:rsidP="00B24A8C">
      <w:pPr>
        <w:numPr>
          <w:ilvl w:val="0"/>
          <w:numId w:val="1"/>
        </w:numPr>
        <w:spacing w:line="360" w:lineRule="auto"/>
        <w:ind w:left="0"/>
        <w:contextualSpacing/>
        <w:jc w:val="both"/>
        <w:rPr>
          <w:rFonts w:ascii="David" w:hAnsi="David"/>
          <w:noProof w:val="0"/>
        </w:rPr>
      </w:pPr>
      <w:r>
        <w:rPr>
          <w:rFonts w:ascii="David" w:hAnsi="David"/>
          <w:noProof w:val="0"/>
          <w:rtl/>
        </w:rPr>
        <w:t>ביום 11.1.22, התקבלה הבקשה ונקבע כי תופקד על-ידי המשיבים ערובה בסך 18,000 ₪.</w:t>
      </w:r>
    </w:p>
    <w:p w:rsidR="00B24A8C" w:rsidRDefault="00B24A8C" w:rsidP="00B24A8C">
      <w:pPr>
        <w:pStyle w:val="ad"/>
        <w:spacing w:line="360" w:lineRule="auto"/>
        <w:ind w:left="0"/>
        <w:jc w:val="both"/>
        <w:rPr>
          <w:rFonts w:ascii="David" w:hAnsi="David"/>
          <w:noProof w:val="0"/>
        </w:rPr>
      </w:pPr>
    </w:p>
    <w:p w:rsidR="00B24A8C" w:rsidRDefault="00B24A8C" w:rsidP="00B24A8C">
      <w:pPr>
        <w:numPr>
          <w:ilvl w:val="0"/>
          <w:numId w:val="1"/>
        </w:numPr>
        <w:spacing w:line="360" w:lineRule="auto"/>
        <w:ind w:left="0"/>
        <w:contextualSpacing/>
        <w:jc w:val="both"/>
        <w:rPr>
          <w:rFonts w:ascii="David" w:hAnsi="David"/>
          <w:noProof w:val="0"/>
          <w:rtl/>
        </w:rPr>
      </w:pPr>
      <w:r>
        <w:rPr>
          <w:rFonts w:ascii="David" w:hAnsi="David"/>
          <w:noProof w:val="0"/>
          <w:rtl/>
        </w:rPr>
        <w:t>הבקשה דנן הוגשה בעטיין של הנסיבות אשר אירעו לאחר שניתנה החלטה קודמת כאמור</w:t>
      </w:r>
      <w:r>
        <w:rPr>
          <w:rFonts w:ascii="David" w:hAnsi="David" w:hint="cs"/>
          <w:noProof w:val="0"/>
          <w:rtl/>
        </w:rPr>
        <w:t xml:space="preserve">, </w:t>
      </w:r>
      <w:r>
        <w:rPr>
          <w:rFonts w:ascii="David" w:hAnsi="David"/>
          <w:noProof w:val="0"/>
          <w:rtl/>
        </w:rPr>
        <w:t>בראשן,</w:t>
      </w:r>
      <w:r>
        <w:rPr>
          <w:rFonts w:ascii="David" w:hAnsi="David" w:hint="cs"/>
          <w:noProof w:val="0"/>
          <w:rtl/>
        </w:rPr>
        <w:t xml:space="preserve"> הגשת</w:t>
      </w:r>
      <w:r>
        <w:rPr>
          <w:rFonts w:ascii="David" w:hAnsi="David"/>
          <w:noProof w:val="0"/>
          <w:rtl/>
        </w:rPr>
        <w:t xml:space="preserve"> חוות-דעת של מומחה מטעם בית המשפט, פרופ' פניג שמואל, מומחה לפסיכיאטריה, מיום 16.1.23, לפיה המנוח היה </w:t>
      </w:r>
      <w:r>
        <w:rPr>
          <w:rFonts w:ascii="David" w:hAnsi="David"/>
          <w:b/>
          <w:bCs/>
          <w:noProof w:val="0"/>
          <w:rtl/>
        </w:rPr>
        <w:t>"כשיר</w:t>
      </w:r>
      <w:r>
        <w:rPr>
          <w:rFonts w:ascii="David" w:hAnsi="David"/>
          <w:noProof w:val="0"/>
          <w:rtl/>
        </w:rPr>
        <w:t xml:space="preserve"> </w:t>
      </w:r>
      <w:r>
        <w:rPr>
          <w:rFonts w:ascii="David" w:hAnsi="David"/>
          <w:b/>
          <w:bCs/>
          <w:noProof w:val="0"/>
          <w:rtl/>
        </w:rPr>
        <w:t>בסבירות גבוהה לערוך צוואה בשני המועדים הרלוונטיים</w:t>
      </w:r>
      <w:r>
        <w:rPr>
          <w:rFonts w:ascii="David" w:hAnsi="David"/>
          <w:noProof w:val="0"/>
          <w:rtl/>
        </w:rPr>
        <w:t xml:space="preserve">". </w:t>
      </w:r>
    </w:p>
    <w:p w:rsidR="00B24A8C" w:rsidRDefault="00B24A8C" w:rsidP="00B24A8C">
      <w:pPr>
        <w:pStyle w:val="ad"/>
        <w:spacing w:line="360" w:lineRule="auto"/>
        <w:ind w:left="0"/>
        <w:jc w:val="both"/>
        <w:rPr>
          <w:rFonts w:ascii="David" w:hAnsi="David"/>
          <w:noProof w:val="0"/>
        </w:rPr>
      </w:pPr>
    </w:p>
    <w:p w:rsidR="00B24A8C" w:rsidRDefault="00B24A8C" w:rsidP="00B24A8C">
      <w:pPr>
        <w:numPr>
          <w:ilvl w:val="0"/>
          <w:numId w:val="1"/>
        </w:numPr>
        <w:spacing w:line="360" w:lineRule="auto"/>
        <w:ind w:left="0"/>
        <w:contextualSpacing/>
        <w:jc w:val="both"/>
        <w:rPr>
          <w:rFonts w:ascii="David" w:hAnsi="David"/>
          <w:noProof w:val="0"/>
          <w:rtl/>
        </w:rPr>
      </w:pPr>
      <w:r>
        <w:rPr>
          <w:rFonts w:ascii="David" w:hAnsi="David"/>
          <w:noProof w:val="0"/>
          <w:rtl/>
        </w:rPr>
        <w:t xml:space="preserve">אחר זאת הגישו המשיבים שאלות הבהרה למומחה והוגשו תשובותיו. תוצאת חוות-הדעת לא שונתה. </w:t>
      </w:r>
    </w:p>
    <w:p w:rsidR="00B24A8C" w:rsidRDefault="00B24A8C" w:rsidP="00B24A8C">
      <w:pPr>
        <w:pStyle w:val="ad"/>
        <w:spacing w:line="360" w:lineRule="auto"/>
        <w:ind w:left="0"/>
        <w:jc w:val="both"/>
        <w:rPr>
          <w:rFonts w:ascii="David" w:hAnsi="David"/>
          <w:noProof w:val="0"/>
        </w:rPr>
      </w:pPr>
    </w:p>
    <w:p w:rsidR="00B24A8C" w:rsidRDefault="00B24A8C" w:rsidP="00B24A8C">
      <w:pPr>
        <w:numPr>
          <w:ilvl w:val="0"/>
          <w:numId w:val="1"/>
        </w:numPr>
        <w:spacing w:line="360" w:lineRule="auto"/>
        <w:ind w:left="0"/>
        <w:contextualSpacing/>
        <w:jc w:val="both"/>
        <w:rPr>
          <w:rFonts w:ascii="David" w:hAnsi="David"/>
          <w:noProof w:val="0"/>
        </w:rPr>
      </w:pPr>
      <w:r>
        <w:rPr>
          <w:rFonts w:ascii="David" w:hAnsi="David"/>
          <w:noProof w:val="0"/>
          <w:rtl/>
        </w:rPr>
        <w:t xml:space="preserve">האמור לעיל, שיש בו, על פניו, לכאורה, מבלי לקבע דבר, כדי להכריע את ההליך, מצטרף לנסיבה המכרעת אף היא, שהיתה ידועה עוד קודם לכן, לפיה כב' רשמת לעניני ירושה, ציפי סולומון-דרמר, אישרה ביום 12.1.20, כי המנוח חתם לפניה על הצוואה, וכי הצוואה נערכה מרצונו הטוב והחופשי. </w:t>
      </w:r>
    </w:p>
    <w:p w:rsidR="00B24A8C" w:rsidRDefault="00B24A8C" w:rsidP="00B24A8C">
      <w:pPr>
        <w:pStyle w:val="ad"/>
        <w:rPr>
          <w:rFonts w:ascii="David" w:hAnsi="David"/>
          <w:noProof w:val="0"/>
          <w:rtl/>
        </w:rPr>
      </w:pPr>
    </w:p>
    <w:p w:rsidR="00B24A8C" w:rsidRDefault="00B24A8C" w:rsidP="00B24A8C">
      <w:pPr>
        <w:numPr>
          <w:ilvl w:val="0"/>
          <w:numId w:val="1"/>
        </w:numPr>
        <w:spacing w:line="360" w:lineRule="auto"/>
        <w:ind w:left="0"/>
        <w:contextualSpacing/>
        <w:jc w:val="both"/>
        <w:rPr>
          <w:rFonts w:ascii="David" w:hAnsi="David"/>
          <w:noProof w:val="0"/>
          <w:rtl/>
        </w:rPr>
      </w:pPr>
      <w:r>
        <w:rPr>
          <w:rFonts w:ascii="David" w:hAnsi="David"/>
          <w:noProof w:val="0"/>
          <w:rtl/>
        </w:rPr>
        <w:t xml:space="preserve">בהחלטת כב' רשמת הירושה מיום 5.1.21, לפיה הועברו ההליכים לבית המשפט, צוין כי הצוואה שהוגשה לביצוע, מיום 12.1.20, היא גם הצוואה שהופקדה אצל רשם הירושה. ר' ס' 12 להחלטתי הקודמת. </w:t>
      </w:r>
    </w:p>
    <w:p w:rsidR="00B24A8C" w:rsidRDefault="00B24A8C" w:rsidP="00B24A8C">
      <w:pPr>
        <w:pStyle w:val="ad"/>
        <w:spacing w:line="360" w:lineRule="auto"/>
        <w:ind w:left="0"/>
        <w:jc w:val="both"/>
        <w:rPr>
          <w:rFonts w:ascii="David" w:hAnsi="David"/>
          <w:noProof w:val="0"/>
        </w:rPr>
      </w:pPr>
    </w:p>
    <w:p w:rsidR="00B24A8C" w:rsidRDefault="00B24A8C" w:rsidP="00B24A8C">
      <w:pPr>
        <w:numPr>
          <w:ilvl w:val="0"/>
          <w:numId w:val="1"/>
        </w:numPr>
        <w:spacing w:line="360" w:lineRule="auto"/>
        <w:ind w:left="0"/>
        <w:contextualSpacing/>
        <w:jc w:val="both"/>
        <w:rPr>
          <w:rFonts w:ascii="David" w:hAnsi="David"/>
          <w:b/>
          <w:bCs/>
          <w:noProof w:val="0"/>
          <w:rtl/>
        </w:rPr>
      </w:pPr>
      <w:r>
        <w:rPr>
          <w:rFonts w:ascii="David" w:hAnsi="David"/>
          <w:b/>
          <w:bCs/>
          <w:noProof w:val="0"/>
          <w:rtl/>
        </w:rPr>
        <w:t>לא ברור אפוא אילו עוד פעולות יכול אדם לנקוט בחייו על מנת להסיר כל ספק בדבר רצונו בקיום צוואתו המאוחרת.</w:t>
      </w:r>
      <w:r>
        <w:rPr>
          <w:rFonts w:ascii="David" w:hAnsi="David" w:hint="cs"/>
          <w:b/>
          <w:bCs/>
          <w:noProof w:val="0"/>
          <w:rtl/>
        </w:rPr>
        <w:t xml:space="preserve"> ההתרשמות היא אפוא שהמצווה עשה את המאמץ המשפטי המקסימאלי וכי מצב הדברים הוא חד-משמעי וברור, ללא סדק או פרצה. </w:t>
      </w:r>
    </w:p>
    <w:p w:rsidR="00B24A8C" w:rsidRDefault="00B24A8C" w:rsidP="00B24A8C">
      <w:pPr>
        <w:pStyle w:val="ad"/>
        <w:spacing w:line="360" w:lineRule="auto"/>
        <w:ind w:left="0"/>
        <w:jc w:val="both"/>
        <w:rPr>
          <w:rFonts w:ascii="David" w:hAnsi="David"/>
          <w:noProof w:val="0"/>
        </w:rPr>
      </w:pPr>
    </w:p>
    <w:p w:rsidR="00B24A8C" w:rsidRDefault="00B24A8C" w:rsidP="00B24A8C">
      <w:pPr>
        <w:numPr>
          <w:ilvl w:val="0"/>
          <w:numId w:val="1"/>
        </w:numPr>
        <w:spacing w:line="360" w:lineRule="auto"/>
        <w:ind w:left="0"/>
        <w:contextualSpacing/>
        <w:jc w:val="both"/>
        <w:rPr>
          <w:rFonts w:ascii="David" w:hAnsi="David"/>
          <w:noProof w:val="0"/>
          <w:rtl/>
        </w:rPr>
      </w:pPr>
      <w:r>
        <w:rPr>
          <w:rFonts w:ascii="David" w:hAnsi="David"/>
          <w:noProof w:val="0"/>
          <w:rtl/>
        </w:rPr>
        <w:t>מכאן עולה השאלה מהם השלבים המשפטיים שנותרו על מנת להכריע בהליך. בזהירות המתבקשת, נראה על פניו לכאורה כי התיק בשל למתן פסק-דין. אמנם לטענת המשיבים, הם מעוניינים לחקור את המומחה, אך למשיבים אין זכות מוקנית לכך, ר' הוראת תקנה 25(ו) לתקנות בית המשפט לעניני משפחה (סדרי דין), תשפ"א-2020. הבקשה טרם הוכרעה. קבוע מועד לישיבת קדם-משפט נוספת.</w:t>
      </w:r>
    </w:p>
    <w:p w:rsidR="00B24A8C" w:rsidRDefault="00B24A8C" w:rsidP="00B24A8C">
      <w:pPr>
        <w:pStyle w:val="ad"/>
        <w:spacing w:line="360" w:lineRule="auto"/>
        <w:ind w:left="0"/>
        <w:jc w:val="both"/>
        <w:rPr>
          <w:rFonts w:ascii="David" w:hAnsi="David"/>
          <w:noProof w:val="0"/>
        </w:rPr>
      </w:pPr>
    </w:p>
    <w:p w:rsidR="00B24A8C" w:rsidRDefault="00B24A8C" w:rsidP="00B24A8C">
      <w:pPr>
        <w:numPr>
          <w:ilvl w:val="0"/>
          <w:numId w:val="1"/>
        </w:numPr>
        <w:spacing w:line="360" w:lineRule="auto"/>
        <w:ind w:left="0"/>
        <w:contextualSpacing/>
        <w:jc w:val="both"/>
        <w:rPr>
          <w:rFonts w:ascii="David" w:hAnsi="David"/>
          <w:noProof w:val="0"/>
          <w:rtl/>
        </w:rPr>
      </w:pPr>
      <w:r>
        <w:rPr>
          <w:rFonts w:ascii="David" w:hAnsi="David"/>
          <w:noProof w:val="0"/>
          <w:rtl/>
        </w:rPr>
        <w:t>אשר למצבם הכלכלי של המשיבים, הצדדים לא טענו לשינוי מאז שניתנה החלטה קודמת. ר' ס' 14-15 להחלטה קודמת.</w:t>
      </w:r>
    </w:p>
    <w:p w:rsidR="00B24A8C" w:rsidRDefault="00B24A8C" w:rsidP="00B24A8C">
      <w:pPr>
        <w:pStyle w:val="ad"/>
        <w:spacing w:line="360" w:lineRule="auto"/>
        <w:ind w:left="0"/>
        <w:jc w:val="both"/>
        <w:rPr>
          <w:rFonts w:ascii="David" w:hAnsi="David"/>
          <w:noProof w:val="0"/>
        </w:rPr>
      </w:pPr>
    </w:p>
    <w:p w:rsidR="00B24A8C" w:rsidRPr="00B24A8C" w:rsidRDefault="00B24A8C" w:rsidP="00B24A8C">
      <w:pPr>
        <w:numPr>
          <w:ilvl w:val="0"/>
          <w:numId w:val="1"/>
        </w:numPr>
        <w:spacing w:line="360" w:lineRule="auto"/>
        <w:ind w:left="0"/>
        <w:contextualSpacing/>
        <w:jc w:val="both"/>
        <w:rPr>
          <w:rFonts w:ascii="David" w:hAnsi="David"/>
          <w:noProof w:val="0"/>
        </w:rPr>
      </w:pPr>
      <w:r>
        <w:rPr>
          <w:rFonts w:ascii="David" w:hAnsi="David"/>
          <w:noProof w:val="0"/>
          <w:rtl/>
        </w:rPr>
        <w:t>על יסוד מכלול האמור לעיל, מבלי לקבע דבר בהליך העיקרי, בהינתן שעל פניו לכאורה ההליך בשל להכרעה ולסיום, והמשיבים מונעים זאת בטענות שדינן על פניו לכאורה, להידחות, נמצא לקבוע כי דין הבקשה להתקבל.</w:t>
      </w:r>
    </w:p>
    <w:p w:rsidR="00B24A8C" w:rsidRDefault="00B24A8C" w:rsidP="00B24A8C">
      <w:pPr>
        <w:spacing w:line="360" w:lineRule="auto"/>
        <w:jc w:val="both"/>
        <w:rPr>
          <w:rFonts w:ascii="David" w:hAnsi="David"/>
          <w:noProof w:val="0"/>
        </w:rPr>
      </w:pPr>
    </w:p>
    <w:p w:rsidR="00B24A8C" w:rsidRDefault="00B24A8C" w:rsidP="00B24A8C">
      <w:pPr>
        <w:numPr>
          <w:ilvl w:val="0"/>
          <w:numId w:val="1"/>
        </w:numPr>
        <w:spacing w:line="360" w:lineRule="auto"/>
        <w:ind w:left="0"/>
        <w:contextualSpacing/>
        <w:jc w:val="both"/>
        <w:rPr>
          <w:rFonts w:ascii="David" w:hAnsi="David"/>
          <w:noProof w:val="0"/>
        </w:rPr>
      </w:pPr>
      <w:r>
        <w:rPr>
          <w:rFonts w:ascii="David" w:hAnsi="David"/>
          <w:noProof w:val="0"/>
          <w:rtl/>
        </w:rPr>
        <w:t>בבוא בית המשפט לשקול בקשה להגדלת סכום ערובה שנקבעה, יש</w:t>
      </w:r>
      <w:r>
        <w:rPr>
          <w:rFonts w:ascii="David" w:hAnsi="David"/>
          <w:rtl/>
        </w:rPr>
        <w:t xml:space="preserve"> לקחת בחשבון, בין היתר, את </w:t>
      </w:r>
      <w:r>
        <w:rPr>
          <w:rFonts w:ascii="David" w:hAnsi="David"/>
          <w:noProof w:val="0"/>
          <w:rtl/>
        </w:rPr>
        <w:t xml:space="preserve">הנטל הכבד המוטל על המשיבים בקשר לסיכויי ההליך לאחר הגשת חוות דעת המומחה מצד אחד; ועשיית הצוואה בפני רשמת הירושה, מצד שני; וכן מהות ההליך; היקף יריעת המחלוקת; ההוצאות הכרוכות בניהול ההליך; והפסיקה הרלבנטית בנוגע לשיעור ההפקדה בנסיבות דומות; כל אלה לצד זכות הגישה לערכאות. </w:t>
      </w:r>
    </w:p>
    <w:p w:rsidR="00B24A8C" w:rsidRDefault="00B24A8C" w:rsidP="00B24A8C">
      <w:pPr>
        <w:spacing w:line="360" w:lineRule="auto"/>
        <w:jc w:val="both"/>
        <w:rPr>
          <w:rFonts w:ascii="David" w:hAnsi="David"/>
          <w:noProof w:val="0"/>
        </w:rPr>
      </w:pPr>
    </w:p>
    <w:p w:rsidR="00B24A8C" w:rsidRDefault="00B24A8C" w:rsidP="00B24A8C">
      <w:pPr>
        <w:numPr>
          <w:ilvl w:val="0"/>
          <w:numId w:val="1"/>
        </w:numPr>
        <w:spacing w:line="360" w:lineRule="auto"/>
        <w:ind w:left="0"/>
        <w:contextualSpacing/>
        <w:jc w:val="both"/>
        <w:rPr>
          <w:rFonts w:ascii="David" w:hAnsi="David"/>
          <w:noProof w:val="0"/>
        </w:rPr>
      </w:pPr>
      <w:r>
        <w:rPr>
          <w:rFonts w:ascii="David" w:hAnsi="David"/>
          <w:noProof w:val="0"/>
          <w:rtl/>
        </w:rPr>
        <w:t>בשקלול אלה, נמצא להורות על חיוב המשיבים בהפקדת ערובה בסך 32,000 ₪, וזאת עד יום 2.6.23. סכום זה מתווסף לסכום שהופקד בהתאם להחלטה קודמת.</w:t>
      </w:r>
    </w:p>
    <w:p w:rsidR="002440CA" w:rsidRDefault="002440CA" w:rsidP="002440CA">
      <w:pPr>
        <w:pStyle w:val="ad"/>
        <w:rPr>
          <w:rFonts w:ascii="David" w:hAnsi="David"/>
          <w:noProof w:val="0"/>
          <w:rtl/>
        </w:rPr>
      </w:pPr>
    </w:p>
    <w:p w:rsidR="002440CA" w:rsidRPr="002440CA" w:rsidRDefault="002440CA" w:rsidP="002440CA">
      <w:pPr>
        <w:spacing w:line="360" w:lineRule="auto"/>
        <w:contextualSpacing/>
        <w:jc w:val="both"/>
        <w:rPr>
          <w:rFonts w:ascii="David" w:hAnsi="David"/>
          <w:noProof w:val="0"/>
          <w:u w:val="single"/>
        </w:rPr>
      </w:pPr>
      <w:r w:rsidRPr="002440CA">
        <w:rPr>
          <w:rFonts w:ascii="David" w:hAnsi="David" w:hint="cs"/>
          <w:noProof w:val="0"/>
          <w:u w:val="single"/>
          <w:rtl/>
        </w:rPr>
        <w:t xml:space="preserve">ניתן לפרסם בהשמטת פרטים מזהים. </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מאי 2023</w:t>
          </w:r>
        </w:sdtContent>
      </w:sdt>
      <w:r w:rsidR="00005C8B">
        <w:rPr>
          <w:rFonts w:ascii="Arial" w:hAnsi="Arial"/>
          <w:noProof w:val="0"/>
          <w:rtl/>
        </w:rPr>
        <w:t>, בהעדר הצדדים.</w:t>
      </w:r>
    </w:p>
    <w:p w:rsidR="00C43648" w:rsidRDefault="008B52D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53720054"/>
        </w:sdtPr>
        <w:sdtEndPr/>
        <w:sdtContent>
          <w:r w:rsidR="00195F1B">
            <w:drawing>
              <wp:inline distT="0" distB="0" distL="0" distR="0" wp14:editId="50D07946">
                <wp:extent cx="1092708"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92708" cy="457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2DE" w:rsidRDefault="008B52DE">
      <w:r>
        <w:separator/>
      </w:r>
    </w:p>
  </w:endnote>
  <w:endnote w:type="continuationSeparator" w:id="0">
    <w:p w:rsidR="008B52DE" w:rsidRDefault="008B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A68" w:rsidRDefault="00E32A6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2445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2445B">
      <w:rPr>
        <w:rStyle w:val="ab"/>
        <w:rtl/>
      </w:rPr>
      <w:t>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A68" w:rsidRDefault="00E32A6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2DE" w:rsidRDefault="008B52DE">
      <w:r>
        <w:separator/>
      </w:r>
    </w:p>
  </w:footnote>
  <w:footnote w:type="continuationSeparator" w:id="0">
    <w:p w:rsidR="008B52DE" w:rsidRDefault="008B5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A68" w:rsidRDefault="00E32A6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2440CA" w:rsidRDefault="008B52DE" w:rsidP="003D7EC0">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18465-01-21</w:t>
              </w:r>
            </w:sdtContent>
          </w:sdt>
          <w:r w:rsidR="00005C8B">
            <w:rPr>
              <w:b/>
              <w:bCs/>
              <w:noProof w:val="0"/>
              <w:sz w:val="26"/>
              <w:szCs w:val="26"/>
              <w:rtl/>
            </w:rPr>
            <w:t xml:space="preserve"> </w:t>
          </w:r>
          <w:sdt>
            <w:sdtPr>
              <w:rPr>
                <w:rtl/>
              </w:rPr>
              <w:alias w:val="1172"/>
              <w:tag w:val="1172"/>
              <w:id w:val="-595170033"/>
              <w:showingPlcHdr/>
              <w:text w:multiLine="1"/>
            </w:sdtPr>
            <w:sdtEndPr/>
            <w:sdtContent>
              <w:r w:rsidR="003D7EC0">
                <w:rPr>
                  <w:rtl/>
                </w:rPr>
                <w:t xml:space="preserve">     </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A68" w:rsidRDefault="00E32A6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2729"/>
    <w:multiLevelType w:val="hybridMultilevel"/>
    <w:tmpl w:val="F82A1790"/>
    <w:lvl w:ilvl="0" w:tplc="54E0808C">
      <w:start w:val="1"/>
      <w:numFmt w:val="decimal"/>
      <w:lvlText w:val="%1."/>
      <w:lvlJc w:val="left"/>
      <w:pPr>
        <w:ind w:left="720" w:hanging="360"/>
      </w:pPr>
      <w:rPr>
        <w:rFonts w:cs="Times New Roman"/>
        <w:lang w:bidi="he-IL"/>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95F1B"/>
    <w:rsid w:val="001C4003"/>
    <w:rsid w:val="001D4DBF"/>
    <w:rsid w:val="001E75CA"/>
    <w:rsid w:val="002265FF"/>
    <w:rsid w:val="00234943"/>
    <w:rsid w:val="002440CA"/>
    <w:rsid w:val="00271B56"/>
    <w:rsid w:val="002C344E"/>
    <w:rsid w:val="002C3F4A"/>
    <w:rsid w:val="002E75E9"/>
    <w:rsid w:val="00307A6A"/>
    <w:rsid w:val="00307C40"/>
    <w:rsid w:val="00320433"/>
    <w:rsid w:val="003230C7"/>
    <w:rsid w:val="0032445B"/>
    <w:rsid w:val="00327E50"/>
    <w:rsid w:val="0033597A"/>
    <w:rsid w:val="00343D89"/>
    <w:rsid w:val="00355243"/>
    <w:rsid w:val="00362612"/>
    <w:rsid w:val="0036743F"/>
    <w:rsid w:val="003715DD"/>
    <w:rsid w:val="003823E0"/>
    <w:rsid w:val="003A4521"/>
    <w:rsid w:val="003D1C8C"/>
    <w:rsid w:val="003D7EC0"/>
    <w:rsid w:val="0040096C"/>
    <w:rsid w:val="00414F1F"/>
    <w:rsid w:val="0043125D"/>
    <w:rsid w:val="0043502B"/>
    <w:rsid w:val="004443AC"/>
    <w:rsid w:val="00444B02"/>
    <w:rsid w:val="00451E28"/>
    <w:rsid w:val="00462C62"/>
    <w:rsid w:val="00465D36"/>
    <w:rsid w:val="004C17EE"/>
    <w:rsid w:val="004C3FCB"/>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B52DE"/>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24A8C"/>
    <w:rsid w:val="00B5356E"/>
    <w:rsid w:val="00B809AD"/>
    <w:rsid w:val="00B80CBD"/>
    <w:rsid w:val="00B86096"/>
    <w:rsid w:val="00B964D9"/>
    <w:rsid w:val="00BA0A7C"/>
    <w:rsid w:val="00BA517C"/>
    <w:rsid w:val="00BB3D05"/>
    <w:rsid w:val="00BB73BE"/>
    <w:rsid w:val="00BC2D89"/>
    <w:rsid w:val="00BC5D10"/>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32A68"/>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24A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805099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138C6" w:rsidP="00E138C6">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87062"/>
    <w:rsid w:val="00793995"/>
    <w:rsid w:val="007C6F98"/>
    <w:rsid w:val="007E254A"/>
    <w:rsid w:val="0086433F"/>
    <w:rsid w:val="008B4366"/>
    <w:rsid w:val="009133C7"/>
    <w:rsid w:val="009178E4"/>
    <w:rsid w:val="00961B27"/>
    <w:rsid w:val="00990020"/>
    <w:rsid w:val="00A04A0C"/>
    <w:rsid w:val="00AA7CE3"/>
    <w:rsid w:val="00B42D7E"/>
    <w:rsid w:val="00B45677"/>
    <w:rsid w:val="00B91FA3"/>
    <w:rsid w:val="00BE6557"/>
    <w:rsid w:val="00C96C06"/>
    <w:rsid w:val="00E138C6"/>
    <w:rsid w:val="00E31BF6"/>
    <w:rsid w:val="00E81DB1"/>
    <w:rsid w:val="00ED24AD"/>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E138C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2280</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2023-06-08T12:27:00Z</dcterms:created>
  <dcterms:modified xsi:type="dcterms:W3CDTF">2023-06-08T12:27:00Z</dcterms:modified>
</cp:coreProperties>
</file>